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40"/>
        <w:jc w:val="center"/>
      </w:pPr>
      <w:r>
        <w:rPr>
          <w:rFonts w:ascii="Microsoft YaHei" w:hAnsi="Microsoft YaHei" w:eastAsia="Microsoft YaHei"/>
          <w:b/>
          <w:color w:val="1F4D78"/>
          <w:sz w:val="38"/>
        </w:rPr>
        <w:t>纸杯、纸碗、纸盖检验作业指导书</w:t>
      </w:r>
    </w:p>
    <w:p>
      <w:pPr>
        <w:spacing w:after="100"/>
        <w:jc w:val="center"/>
      </w:pPr>
      <w:r>
        <w:rPr>
          <w:rFonts w:ascii="Microsoft YaHei" w:hAnsi="Microsoft YaHei" w:eastAsia="Microsoft YaHei"/>
          <w:color w:val="667085"/>
          <w:sz w:val="20"/>
        </w:rPr>
        <w:t>检验准备、抽样、试验、判定、隔离与放行</w:t>
      </w:r>
    </w:p>
    <w:tbl>
      <w:tblPr>
        <w:tblW w:type="dxa" w:w="15477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D7DBE2"/>
          <w:left w:val="single" w:sz="4" w:space="0" w:color="D7DBE2"/>
          <w:bottom w:val="single" w:sz="4" w:space="0" w:color="D7DBE2"/>
          <w:right w:val="single" w:sz="4" w:space="0" w:color="D7DBE2"/>
          <w:insideH w:val="single" w:sz="4" w:space="0" w:color="D7DBE2"/>
          <w:insideV w:val="single" w:sz="4" w:space="0" w:color="D7DBE2"/>
        </w:tblBorders>
      </w:tblPr>
      <w:tblGrid>
        <w:gridCol w:w="1303"/>
        <w:gridCol w:w="3118"/>
        <w:gridCol w:w="1303"/>
        <w:gridCol w:w="3118"/>
        <w:gridCol w:w="1303"/>
        <w:gridCol w:w="5329"/>
      </w:tblGrid>
      <w:tr>
        <w:trPr>
          <w:cantSplit/>
        </w:trPr>
        <w:tc>
          <w:tcPr>
            <w:tcW w:type="dxa" w:w="130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6"/>
              </w:rPr>
              <w:t>文件编号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6"/>
              </w:rPr>
              <w:t>QMS-WI-QC-001</w:t>
            </w:r>
          </w:p>
        </w:tc>
        <w:tc>
          <w:tcPr>
            <w:tcW w:type="dxa" w:w="130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6"/>
              </w:rPr>
              <w:t>适用范围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6"/>
              </w:rPr>
              <w:t>纸杯 / 纸碗 / 纸盖</w:t>
            </w:r>
          </w:p>
        </w:tc>
        <w:tc>
          <w:tcPr>
            <w:tcW w:type="dxa" w:w="130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6"/>
              </w:rPr>
              <w:t>生效日期</w:t>
            </w:r>
          </w:p>
        </w:tc>
        <w:tc>
          <w:tcPr>
            <w:tcW w:type="dxa" w:w="532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/>
            <w:r>
              <w:rPr>
                <w:rFonts w:ascii="Microsoft YaHei" w:hAnsi="Microsoft YaHei" w:eastAsia="Microsoft YaHei"/>
                <w:b w:val="0"/>
                <w:color w:val="000000"/>
                <w:sz w:val="16"/>
              </w:rPr>
              <w:t>____年__月__日</w:t>
            </w:r>
          </w:p>
        </w:tc>
      </w:tr>
    </w:tbl>
    <w:p>
      <w:pPr>
        <w:spacing w:after="0"/>
      </w:pPr>
    </w:p>
    <w:tbl>
      <w:tblPr>
        <w:tblW w:type="dxa" w:w="15477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D7DBE2"/>
          <w:left w:val="single" w:sz="4" w:space="0" w:color="D7DBE2"/>
          <w:bottom w:val="single" w:sz="4" w:space="0" w:color="D7DBE2"/>
          <w:right w:val="single" w:sz="4" w:space="0" w:color="D7DBE2"/>
          <w:insideH w:val="single" w:sz="4" w:space="0" w:color="D7DBE2"/>
          <w:insideV w:val="single" w:sz="4" w:space="0" w:color="D7DBE2"/>
        </w:tblBorders>
      </w:tblPr>
      <w:tblGrid>
        <w:gridCol w:w="1757"/>
        <w:gridCol w:w="13719"/>
      </w:tblGrid>
      <w:tr>
        <w:trPr>
          <w:cantSplit/>
        </w:trP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1F4D78"/>
                <w:sz w:val="18"/>
              </w:rPr>
              <w:t>执行纪律</w:t>
            </w:r>
          </w:p>
        </w:tc>
        <w:tc>
          <w:tcPr>
            <w:tcW w:type="dxa" w:w="1371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r>
              <w:rPr>
                <w:rFonts w:ascii="Microsoft YaHei" w:hAnsi="Microsoft YaHei" w:eastAsia="Microsoft YaHei"/>
                <w:color w:val="000000"/>
                <w:sz w:val="18"/>
              </w:rPr>
              <w:t>检验员不得凭经验放行；除来料检验外，任何检验结果必须绑定派工单号、工单行号和工序序号，并追溯到产品料号、原料批号、设备/班次、样品位置、工具代码/状态和原始数据。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 角色与职责</w:t>
      </w:r>
    </w:p>
    <w:tbl>
      <w:tblPr>
        <w:tblW w:type="dxa" w:w="15477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B7C1CC"/>
          <w:left w:val="single" w:sz="4" w:space="0" w:color="B7C1CC"/>
          <w:bottom w:val="single" w:sz="4" w:space="0" w:color="B7C1CC"/>
          <w:right w:val="single" w:sz="4" w:space="0" w:color="B7C1CC"/>
          <w:insideH w:val="single" w:sz="4" w:space="0" w:color="B7C1CC"/>
          <w:insideV w:val="single" w:sz="4" w:space="0" w:color="B7C1CC"/>
        </w:tblBorders>
      </w:tblPr>
      <w:tblGrid>
        <w:gridCol w:w="2287"/>
        <w:gridCol w:w="13190"/>
      </w:tblGrid>
      <w:tr>
        <w:trPr>
          <w:cantSplit/>
          <w:tblHeader w:val="true"/>
        </w:trPr>
        <w:tc>
          <w:tcPr>
            <w:tcW w:type="dxa" w:w="228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7"/>
              </w:rPr>
              <w:t>角色</w:t>
            </w:r>
          </w:p>
        </w:tc>
        <w:tc>
          <w:tcPr>
            <w:tcW w:type="dxa" w:w="131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7"/>
              </w:rPr>
              <w:t>职责</w:t>
            </w:r>
          </w:p>
        </w:tc>
      </w:tr>
      <w:tr>
        <w:trPr>
          <w:cantSplit/>
        </w:trPr>
        <w:tc>
          <w:tcPr>
            <w:tcW w:type="dxa" w:w="228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操作员/班组长</w:t>
            </w:r>
          </w:p>
        </w:tc>
        <w:tc>
          <w:tcPr>
            <w:tcW w:type="dxa" w:w="131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按工艺卡生产、清场、首件自检、异常停机、隔离可疑品；不得自行放行</w:t>
            </w:r>
          </w:p>
        </w:tc>
      </w:tr>
      <w:tr>
        <w:trPr>
          <w:cantSplit/>
        </w:trPr>
        <w:tc>
          <w:tcPr>
            <w:tcW w:type="dxa" w:w="228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IQC</w:t>
            </w:r>
          </w:p>
        </w:tc>
        <w:tc>
          <w:tcPr>
            <w:tcW w:type="dxa" w:w="131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原纸、淋膜纸、油墨、胶黏剂、塑料件和包装材料来料检验及资料核对</w:t>
            </w:r>
          </w:p>
        </w:tc>
      </w:tr>
      <w:tr>
        <w:trPr>
          <w:cantSplit/>
        </w:trPr>
        <w:tc>
          <w:tcPr>
            <w:tcW w:type="dxa" w:w="228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IPQC</w:t>
            </w:r>
          </w:p>
        </w:tc>
        <w:tc>
          <w:tcPr>
            <w:tcW w:type="dxa" w:w="13190"/>
            <w:shd w:fill="FFF4E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首件、巡检、设备参数、关键外观和过程记录；发现关键缺陷立即停线</w:t>
            </w:r>
          </w:p>
        </w:tc>
      </w:tr>
      <w:tr>
        <w:trPr>
          <w:cantSplit/>
        </w:trPr>
        <w:tc>
          <w:tcPr>
            <w:tcW w:type="dxa" w:w="228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FQC/OQC</w:t>
            </w:r>
          </w:p>
        </w:tc>
        <w:tc>
          <w:tcPr>
            <w:tcW w:type="dxa" w:w="131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成品批检、抽样、破坏性试验、包装标识核对、放行建议</w:t>
            </w:r>
          </w:p>
        </w:tc>
      </w:tr>
      <w:tr>
        <w:trPr>
          <w:cantSplit/>
        </w:trPr>
        <w:tc>
          <w:tcPr>
            <w:tcW w:type="dxa" w:w="228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QE/质量负责人</w:t>
            </w:r>
          </w:p>
        </w:tc>
        <w:tc>
          <w:tcPr>
            <w:tcW w:type="dxa" w:w="131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标准维护、SKU卡批准、外检计划、异常判定、批次放行、纠正措施关闭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2 检验前准备</w:t>
      </w:r>
    </w:p>
    <w:tbl>
      <w:tblPr>
        <w:tblW w:type="dxa" w:w="15477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B7C1CC"/>
          <w:left w:val="single" w:sz="4" w:space="0" w:color="B7C1CC"/>
          <w:bottom w:val="single" w:sz="4" w:space="0" w:color="B7C1CC"/>
          <w:right w:val="single" w:sz="4" w:space="0" w:color="B7C1CC"/>
          <w:insideH w:val="single" w:sz="4" w:space="0" w:color="B7C1CC"/>
          <w:insideV w:val="single" w:sz="4" w:space="0" w:color="B7C1CC"/>
        </w:tblBorders>
      </w:tblPr>
      <w:tblGrid>
        <w:gridCol w:w="1755"/>
        <w:gridCol w:w="9467"/>
        <w:gridCol w:w="4254"/>
      </w:tblGrid>
      <w:tr>
        <w:trPr>
          <w:cantSplit/>
          <w:tblHeader w:val="true"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6"/>
              </w:rPr>
              <w:t>步骤</w:t>
            </w:r>
          </w:p>
        </w:tc>
        <w:tc>
          <w:tcPr>
            <w:tcW w:type="dxa" w:w="946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6"/>
              </w:rPr>
              <w:t>操作要求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6"/>
              </w:rPr>
              <w:t>不符合时</w:t>
            </w:r>
          </w:p>
        </w:tc>
      </w:tr>
      <w:tr>
        <w:trPr>
          <w:cantSplit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2.1 文件</w:t>
            </w:r>
          </w:p>
        </w:tc>
        <w:tc>
          <w:tcPr>
            <w:tcW w:type="dxa" w:w="946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核对最新受控版：标准、SKU卡、BOM、工艺卡、客户图纸、抽样计划。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停止检验，找质量负责人确认版本</w:t>
            </w:r>
          </w:p>
        </w:tc>
      </w:tr>
      <w:tr>
        <w:trPr>
          <w:cantSplit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2.2 环境</w:t>
            </w:r>
          </w:p>
        </w:tc>
        <w:tc>
          <w:tcPr>
            <w:tcW w:type="dxa" w:w="946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检验区清洁、无粉尘/异味/化学品；照度足够；食品接触样品不得落地。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清洁后复核；已污染样品隔离</w:t>
            </w:r>
          </w:p>
        </w:tc>
      </w:tr>
      <w:tr>
        <w:trPr>
          <w:cantSplit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2.3 仪器</w:t>
            </w:r>
          </w:p>
        </w:tc>
        <w:tc>
          <w:tcPr>
            <w:tcW w:type="dxa" w:w="9467"/>
            <w:shd w:fill="FFF4E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确认量具、天平、温度计、挺度仪、计时器在校准有效期；检查零点和外观。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停用并贴“待校准”标识</w:t>
            </w:r>
          </w:p>
        </w:tc>
      </w:tr>
      <w:tr>
        <w:trPr>
          <w:cantSplit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2.4 样品</w:t>
            </w:r>
          </w:p>
        </w:tc>
        <w:tc>
          <w:tcPr>
            <w:tcW w:type="dxa" w:w="946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按批次随机抽取，记录箱号、层位、时间段、设备位置；样品与留样分开。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重新抽样，避免便利抽样</w:t>
            </w:r>
          </w:p>
        </w:tc>
      </w:tr>
      <w:tr>
        <w:trPr>
          <w:cantSplit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2.5 安全</w:t>
            </w:r>
          </w:p>
        </w:tc>
        <w:tc>
          <w:tcPr>
            <w:tcW w:type="dxa" w:w="946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热水/热油试验防烫；刀具剪样佩戴防护；废液按规定处理。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停止危险操作，先纠正安全条件</w:t>
            </w:r>
          </w:p>
        </w:tc>
      </w:tr>
      <w:tr>
        <w:trPr>
          <w:cantSplit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2.6 派工单</w:t>
            </w:r>
          </w:p>
        </w:tc>
        <w:tc>
          <w:tcPr>
            <w:tcW w:type="dxa" w:w="946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扫描派工单，核对工单行号、工序、SKU、数量、机台、BOM/工艺版本和水测/油测要求；系统生成首件、巡检和批检节点。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信息不一致或节点未生成时冻结派工单，不得开工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3 作业流程</w:t>
      </w:r>
    </w:p>
    <w:tbl>
      <w:tblPr>
        <w:tblW w:type="dxa" w:w="15477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B7C1CC"/>
          <w:left w:val="single" w:sz="4" w:space="0" w:color="B7C1CC"/>
          <w:bottom w:val="single" w:sz="4" w:space="0" w:color="B7C1CC"/>
          <w:right w:val="single" w:sz="4" w:space="0" w:color="B7C1CC"/>
          <w:insideH w:val="single" w:sz="4" w:space="0" w:color="B7C1CC"/>
          <w:insideV w:val="single" w:sz="4" w:space="0" w:color="B7C1CC"/>
        </w:tblBorders>
      </w:tblPr>
      <w:tblGrid>
        <w:gridCol w:w="1755"/>
        <w:gridCol w:w="9467"/>
        <w:gridCol w:w="4254"/>
      </w:tblGrid>
      <w:tr>
        <w:trPr>
          <w:cantSplit/>
          <w:tblHeader w:val="true"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6"/>
              </w:rPr>
              <w:t>阶段</w:t>
            </w:r>
          </w:p>
        </w:tc>
        <w:tc>
          <w:tcPr>
            <w:tcW w:type="dxa" w:w="946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6"/>
              </w:rPr>
              <w:t>作业顺序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6"/>
              </w:rPr>
              <w:t>输出记录</w:t>
            </w:r>
          </w:p>
        </w:tc>
      </w:tr>
      <w:tr>
        <w:trPr>
          <w:cantSplit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来料</w:t>
            </w:r>
          </w:p>
        </w:tc>
        <w:tc>
          <w:tcPr>
            <w:tcW w:type="dxa" w:w="946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资料核对 -&gt; 外观/尺寸/水分/定量/膜层抽测 -&gt; 合格标识 -&gt; 入库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来料检验记录、合规资料清单</w:t>
            </w:r>
          </w:p>
        </w:tc>
      </w:tr>
      <w:tr>
        <w:trPr>
          <w:cantSplit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派工/开机</w:t>
            </w:r>
          </w:p>
        </w:tc>
        <w:tc>
          <w:tcPr>
            <w:tcW w:type="dxa" w:w="946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扫描派工单 -&gt; 核对SKU/BOM/工序/机台 -&gt; 清场和设备点检 -&gt; 参数设定 -&gt; 首件制作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派工校验、首件待检任务</w:t>
            </w:r>
          </w:p>
        </w:tc>
      </w:tr>
      <w:tr>
        <w:trPr>
          <w:cantSplit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首件</w:t>
            </w:r>
          </w:p>
        </w:tc>
        <w:tc>
          <w:tcPr>
            <w:tcW w:type="dxa" w:w="946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外观/尺寸/容量或配合 -&gt; 按SKU分别做水渗漏、油渗漏 -&gt; 挺度/承载 -&gt; 工具状态核对 -&gt; IPQC批准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F-02、F-05；首件状态</w:t>
            </w:r>
          </w:p>
        </w:tc>
      </w:tr>
      <w:tr>
        <w:trPr>
          <w:cantSplit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生产中</w:t>
            </w:r>
          </w:p>
        </w:tc>
        <w:tc>
          <w:tcPr>
            <w:tcW w:type="dxa" w:w="9467"/>
            <w:shd w:fill="FFF4E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操作员自检 -&gt; 系统按时间/数量生成巡检 -&gt; IPQC扫码取样 -&gt; 必检项/触发水油测试 -&gt; 关键外观逐件防错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F-03、F-05；巡检序号和时效</w:t>
            </w:r>
          </w:p>
        </w:tc>
      </w:tr>
      <w:tr>
        <w:trPr>
          <w:cantSplit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成品</w:t>
            </w:r>
          </w:p>
        </w:tc>
        <w:tc>
          <w:tcPr>
            <w:tcW w:type="dxa" w:w="946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报工申请 -&gt; 完整性审计 -&gt; 外观/尺寸/容量 -&gt; 水测 -&gt; 油测 -&gt; 挺度/配合 -&gt; 包装标识/数量 -&gt; 判定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F-04、F-05；批次判定</w:t>
            </w:r>
          </w:p>
        </w:tc>
      </w:tr>
      <w:tr>
        <w:trPr>
          <w:cantSplit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放行</w:t>
            </w:r>
          </w:p>
        </w:tc>
        <w:tc>
          <w:tcPr>
            <w:tcW w:type="dxa" w:w="946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首件/巡检/水测/油测/工具/外检/NCR核对 -&gt; 质量负责人签发 -&gt; 入库/出货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F-08；派工单已放行/完工</w:t>
            </w:r>
          </w:p>
        </w:tc>
      </w:tr>
    </w:tbl>
    <w:p>
      <w:pPr>
        <w:spacing w:after="0"/>
      </w:pPr>
    </w:p>
    <w:tbl>
      <w:tblPr>
        <w:tblW w:type="dxa" w:w="15477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B7C1CC"/>
          <w:left w:val="single" w:sz="4" w:space="0" w:color="B7C1CC"/>
          <w:bottom w:val="single" w:sz="4" w:space="0" w:color="B7C1CC"/>
          <w:right w:val="single" w:sz="4" w:space="0" w:color="B7C1CC"/>
          <w:insideH w:val="single" w:sz="4" w:space="0" w:color="B7C1CC"/>
          <w:insideV w:val="single" w:sz="4" w:space="0" w:color="B7C1CC"/>
        </w:tblBorders>
      </w:tblPr>
      <w:tblGrid>
        <w:gridCol w:w="2552"/>
        <w:gridCol w:w="7392"/>
        <w:gridCol w:w="5531"/>
      </w:tblGrid>
      <w:tr>
        <w:trPr>
          <w:cantSplit/>
          <w:tblHeader w:val="true"/>
        </w:trPr>
        <w:tc>
          <w:tcPr>
            <w:tcW w:type="dxa" w:w="25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4E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6"/>
              </w:rPr>
              <w:t>系统门禁</w:t>
            </w:r>
          </w:p>
        </w:tc>
        <w:tc>
          <w:tcPr>
            <w:tcW w:type="dxa" w:w="739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4E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6"/>
              </w:rPr>
              <w:t>通过条件</w:t>
            </w:r>
          </w:p>
        </w:tc>
        <w:tc>
          <w:tcPr>
            <w:tcW w:type="dxa" w:w="553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4E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6"/>
              </w:rPr>
              <w:t>未通过时</w:t>
            </w:r>
          </w:p>
        </w:tc>
      </w:tr>
      <w:tr>
        <w:trPr>
          <w:cantSplit/>
        </w:trPr>
        <w:tc>
          <w:tcPr>
            <w:tcW w:type="dxa" w:w="25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首件门禁</w:t>
            </w:r>
          </w:p>
        </w:tc>
        <w:tc>
          <w:tcPr>
            <w:tcW w:type="dxa" w:w="739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首件状态=合格；SKU要求的水测/油测均为合格；工具状态=有效</w:t>
            </w:r>
          </w:p>
        </w:tc>
        <w:tc>
          <w:tcPr>
            <w:tcW w:type="dxa" w:w="553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派工单保持“首件待检/冻结”，禁止生产报工</w:t>
            </w:r>
          </w:p>
        </w:tc>
      </w:tr>
      <w:tr>
        <w:trPr>
          <w:cantSplit/>
        </w:trPr>
        <w:tc>
          <w:tcPr>
            <w:tcW w:type="dxa" w:w="25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巡检门禁</w:t>
            </w:r>
          </w:p>
        </w:tc>
        <w:tc>
          <w:tcPr>
            <w:tcW w:type="dxa" w:w="7392"/>
            <w:shd w:fill="FFF4E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巡检序号连续、在应完成时间内完成；关键缺陷=0</w:t>
            </w:r>
          </w:p>
        </w:tc>
        <w:tc>
          <w:tcPr>
            <w:tcW w:type="dxa" w:w="553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超期预警并按风险冻结；异常停机隔离</w:t>
            </w:r>
          </w:p>
        </w:tc>
      </w:tr>
      <w:tr>
        <w:trPr>
          <w:cantSplit/>
        </w:trPr>
        <w:tc>
          <w:tcPr>
            <w:tcW w:type="dxa" w:w="255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完工/放行门禁</w:t>
            </w:r>
          </w:p>
        </w:tc>
        <w:tc>
          <w:tcPr>
            <w:tcW w:type="dxa" w:w="739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全部必需节点完成；批检合格；外检有效；异常关闭；质量负责人批准</w:t>
            </w:r>
          </w:p>
        </w:tc>
        <w:tc>
          <w:tcPr>
            <w:tcW w:type="dxa" w:w="553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禁止完工、入库和出货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4 检验方法</w:t>
      </w:r>
    </w:p>
    <w:p>
      <w:pPr>
        <w:pStyle w:val="Heading2"/>
        <w:keepNext/>
      </w:pPr>
      <w:r>
        <w:t>4.1 外观与气味</w:t>
      </w:r>
    </w:p>
    <w:p>
      <w:pPr>
        <w:spacing w:after="60" w:line="252" w:lineRule="auto"/>
      </w:pPr>
      <w:r>
        <w:rPr>
          <w:rFonts w:ascii="Microsoft YaHei" w:hAnsi="Microsoft YaHei" w:eastAsia="Microsoft YaHei"/>
          <w:color w:val="000000"/>
          <w:sz w:val="19"/>
        </w:rPr>
        <w:t>在自然光或不低于规定照度的白光下，逐件检查杯口/碗口、杯底/碗底、接缝、内外表面、膜层、印刷、毛边、异物、霉斑、油污和变形。闻样品是否有明显异臭；不得用鼻子直接贴近接触面。</w:t>
      </w:r>
    </w:p>
    <w:p>
      <w:pPr>
        <w:pStyle w:val="Heading2"/>
        <w:keepNext/>
      </w:pPr>
      <w:r>
        <w:t>4.2 尺寸与容量</w:t>
      </w:r>
    </w:p>
    <w:tbl>
      <w:tblPr>
        <w:tblW w:type="dxa" w:w="15477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B7C1CC"/>
          <w:left w:val="single" w:sz="4" w:space="0" w:color="B7C1CC"/>
          <w:bottom w:val="single" w:sz="4" w:space="0" w:color="B7C1CC"/>
          <w:right w:val="single" w:sz="4" w:space="0" w:color="B7C1CC"/>
          <w:insideH w:val="single" w:sz="4" w:space="0" w:color="B7C1CC"/>
          <w:insideV w:val="single" w:sz="4" w:space="0" w:color="B7C1CC"/>
        </w:tblBorders>
      </w:tblPr>
      <w:tblGrid>
        <w:gridCol w:w="1914"/>
        <w:gridCol w:w="9573"/>
        <w:gridCol w:w="3988"/>
      </w:tblGrid>
      <w:tr>
        <w:trPr>
          <w:cantSplit/>
          <w:tblHeader w:val="true"/>
        </w:trPr>
        <w:tc>
          <w:tcPr>
            <w:tcW w:type="dxa" w:w="1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6"/>
              </w:rPr>
              <w:t>项目</w:t>
            </w:r>
          </w:p>
        </w:tc>
        <w:tc>
          <w:tcPr>
            <w:tcW w:type="dxa" w:w="957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6"/>
              </w:rPr>
              <w:t>方法</w:t>
            </w:r>
          </w:p>
        </w:tc>
        <w:tc>
          <w:tcPr>
            <w:tcW w:type="dxa" w:w="398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6"/>
              </w:rPr>
              <w:t>记录/判定</w:t>
            </w:r>
          </w:p>
        </w:tc>
      </w:tr>
      <w:tr>
        <w:trPr>
          <w:cantSplit/>
        </w:trPr>
        <w:tc>
          <w:tcPr>
            <w:tcW w:type="dxa" w:w="1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尺寸</w:t>
            </w:r>
          </w:p>
        </w:tc>
        <w:tc>
          <w:tcPr>
            <w:tcW w:type="dxa" w:w="957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用校准量具测口径、底径、高度、边缘、盖内外径、配合深度；每个位置至少测2次，取平均或最大差异。</w:t>
            </w:r>
          </w:p>
        </w:tc>
        <w:tc>
          <w:tcPr>
            <w:tcW w:type="dxa" w:w="398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按SKU卡上下限；超限即不合格</w:t>
            </w:r>
          </w:p>
        </w:tc>
      </w:tr>
      <w:tr>
        <w:trPr>
          <w:cantSplit/>
        </w:trPr>
        <w:tc>
          <w:tcPr>
            <w:tcW w:type="dxa" w:w="1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容量-称量法</w:t>
            </w:r>
          </w:p>
        </w:tc>
        <w:tc>
          <w:tcPr>
            <w:tcW w:type="dxa" w:w="957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空样品质量m1；加入规定温度的水至标称线/规定位置，质量m2；V=(m2-m1)/ρ，水温和ρ记录；5只取平均。</w:t>
            </w:r>
          </w:p>
        </w:tc>
        <w:tc>
          <w:tcPr>
            <w:tcW w:type="dxa" w:w="398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容量偏差d=|V-V均|/V×100%；按产品标准和SKU卡判定</w:t>
            </w:r>
          </w:p>
        </w:tc>
      </w:tr>
      <w:tr>
        <w:trPr>
          <w:cantSplit/>
        </w:trPr>
        <w:tc>
          <w:tcPr>
            <w:tcW w:type="dxa" w:w="1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容量-量筒法</w:t>
            </w:r>
          </w:p>
        </w:tc>
        <w:tc>
          <w:tcPr>
            <w:tcW w:type="dxa" w:w="957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按样品口径选择量筒，加入23℃左右水至标线，再倒入量筒读数；5只取平均。</w:t>
            </w:r>
          </w:p>
        </w:tc>
        <w:tc>
          <w:tcPr>
            <w:tcW w:type="dxa" w:w="398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读取到量筒分度值；禁止凭视觉估算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4.3 水渗漏与油渗漏/耐温</w:t>
      </w:r>
    </w:p>
    <w:tbl>
      <w:tblPr>
        <w:tblW w:type="dxa" w:w="15477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B7C1CC"/>
          <w:left w:val="single" w:sz="4" w:space="0" w:color="B7C1CC"/>
          <w:bottom w:val="single" w:sz="4" w:space="0" w:color="B7C1CC"/>
          <w:right w:val="single" w:sz="4" w:space="0" w:color="B7C1CC"/>
          <w:insideH w:val="single" w:sz="4" w:space="0" w:color="B7C1CC"/>
          <w:insideV w:val="single" w:sz="4" w:space="0" w:color="B7C1CC"/>
        </w:tblBorders>
      </w:tblPr>
      <w:tblGrid>
        <w:gridCol w:w="2021"/>
        <w:gridCol w:w="4254"/>
        <w:gridCol w:w="3563"/>
        <w:gridCol w:w="5637"/>
      </w:tblGrid>
      <w:tr>
        <w:trPr>
          <w:cantSplit/>
          <w:tblHeader w:val="true"/>
        </w:trPr>
        <w:tc>
          <w:tcPr>
            <w:tcW w:type="dxa" w:w="20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5"/>
              </w:rPr>
              <w:t>测试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5"/>
              </w:rPr>
              <w:t>适用与条件</w:t>
            </w:r>
          </w:p>
        </w:tc>
        <w:tc>
          <w:tcPr>
            <w:tcW w:type="dxa" w:w="356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5"/>
              </w:rPr>
              <w:t>工具代码</w:t>
            </w:r>
          </w:p>
        </w:tc>
        <w:tc>
          <w:tcPr>
            <w:tcW w:type="dxa" w:w="563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5"/>
              </w:rPr>
              <w:t>操作和判定</w:t>
            </w:r>
          </w:p>
        </w:tc>
      </w:tr>
      <w:tr>
        <w:trPr>
          <w:cantSplit/>
        </w:trPr>
        <w:tc>
          <w:tcPr>
            <w:tcW w:type="dxa" w:w="20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水渗漏-热饮/热食品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SKU规定水温、时间、液位；未规定时不得由检验员自行决定。</w:t>
            </w:r>
          </w:p>
        </w:tc>
        <w:tc>
          <w:tcPr>
            <w:tcW w:type="dxa" w:w="356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TOOL-LEAK-001/003/004/005/006</w:t>
            </w:r>
          </w:p>
        </w:tc>
        <w:tc>
          <w:tcPr>
            <w:tcW w:type="dxa" w:w="563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样品置于干燥承载板，加入规定水量并计时；检查底部、侧面、接缝及板面。不得漏水、渗水、水印、脱层、明显软化或变形。</w:t>
            </w:r>
          </w:p>
        </w:tc>
      </w:tr>
      <w:tr>
        <w:trPr>
          <w:cantSplit/>
        </w:trPr>
        <w:tc>
          <w:tcPr>
            <w:tcW w:type="dxa" w:w="20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水渗漏-冷饮/一般水性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SKU规定水温、时间、液位；注意冷凝水与真实渗漏的区分。</w:t>
            </w:r>
          </w:p>
        </w:tc>
        <w:tc>
          <w:tcPr>
            <w:tcW w:type="dxa" w:w="356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TOOL-LEAK-001/003/004/005/006</w:t>
            </w:r>
          </w:p>
        </w:tc>
        <w:tc>
          <w:tcPr>
            <w:tcW w:type="dxa" w:w="563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可用平行条块使底部离板；记录实测温度和时间。不得漏水、渗水或在接触板形成由样品导致的水印。</w:t>
            </w:r>
          </w:p>
        </w:tc>
      </w:tr>
      <w:tr>
        <w:trPr>
          <w:cantSplit/>
        </w:trPr>
        <w:tc>
          <w:tcPr>
            <w:tcW w:type="dxa" w:w="20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油渗漏/耐热油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仅用于SKU声明的油性食品；由SKU规定油种/模拟物、油温、时间和液位。</w:t>
            </w:r>
          </w:p>
        </w:tc>
        <w:tc>
          <w:tcPr>
            <w:tcW w:type="dxa" w:w="356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TOOL-LEAK-002/003/004/005/006</w:t>
            </w:r>
          </w:p>
        </w:tc>
        <w:tc>
          <w:tcPr>
            <w:tcW w:type="dxa" w:w="563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使用专用受控油测试容器；检查底部、侧面、接缝和板面。不得有油印、渗油、脱层、软化或结构失效。</w:t>
            </w:r>
          </w:p>
        </w:tc>
      </w:tr>
      <w:tr>
        <w:trPr>
          <w:cantSplit/>
        </w:trPr>
        <w:tc>
          <w:tcPr>
            <w:tcW w:type="dxa" w:w="20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酸性/其他介质</w:t>
            </w:r>
          </w:p>
        </w:tc>
        <w:tc>
          <w:tcPr>
            <w:tcW w:type="dxa" w:w="425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按批准SKU或客户/标准规定的介质与条件。</w:t>
            </w:r>
          </w:p>
        </w:tc>
        <w:tc>
          <w:tcPr>
            <w:tcW w:type="dxa" w:w="356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按方案选择并记录</w:t>
            </w:r>
          </w:p>
        </w:tc>
        <w:tc>
          <w:tcPr>
            <w:tcW w:type="dxa" w:w="563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不得与水测、油测合并成一个结果；介质、温度、时间、样品位置和观察必须可追溯。</w:t>
            </w:r>
          </w:p>
        </w:tc>
      </w:tr>
    </w:tbl>
    <w:p>
      <w:pPr>
        <w:spacing w:after="0"/>
      </w:pPr>
    </w:p>
    <w:p>
      <w:pPr>
        <w:spacing w:after="60" w:line="252" w:lineRule="auto"/>
      </w:pPr>
      <w:r>
        <w:rPr>
          <w:rFonts w:ascii="Microsoft YaHei" w:hAnsi="Microsoft YaHei" w:eastAsia="Microsoft YaHei"/>
          <w:color w:val="9B1C1C"/>
          <w:sz w:val="17"/>
        </w:rPr>
        <w:t>水测和油测是两个独立检验节点。SKU要求两者时必须分别完成、分别记录、分别判定；任一必需测试未完成、不合格或所用工具状态无效，立即冻结派工单/批次，不得以另一测试结果代替。</w:t>
      </w:r>
    </w:p>
    <w:p>
      <w:pPr>
        <w:pStyle w:val="Heading2"/>
        <w:keepNext/>
      </w:pPr>
      <w:r>
        <w:t>4.4 挺度、承载与配合</w:t>
      </w:r>
    </w:p>
    <w:tbl>
      <w:tblPr>
        <w:tblW w:type="dxa" w:w="15477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B7C1CC"/>
          <w:left w:val="single" w:sz="4" w:space="0" w:color="B7C1CC"/>
          <w:bottom w:val="single" w:sz="4" w:space="0" w:color="B7C1CC"/>
          <w:right w:val="single" w:sz="4" w:space="0" w:color="B7C1CC"/>
          <w:insideH w:val="single" w:sz="4" w:space="0" w:color="B7C1CC"/>
          <w:insideV w:val="single" w:sz="4" w:space="0" w:color="B7C1CC"/>
        </w:tblBorders>
      </w:tblPr>
      <w:tblGrid>
        <w:gridCol w:w="1914"/>
        <w:gridCol w:w="9573"/>
        <w:gridCol w:w="3988"/>
      </w:tblGrid>
      <w:tr>
        <w:trPr>
          <w:cantSplit/>
          <w:tblHeader w:val="true"/>
        </w:trPr>
        <w:tc>
          <w:tcPr>
            <w:tcW w:type="dxa" w:w="1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6"/>
              </w:rPr>
              <w:t>项目</w:t>
            </w:r>
          </w:p>
        </w:tc>
        <w:tc>
          <w:tcPr>
            <w:tcW w:type="dxa" w:w="957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6"/>
              </w:rPr>
              <w:t>方法</w:t>
            </w:r>
          </w:p>
        </w:tc>
        <w:tc>
          <w:tcPr>
            <w:tcW w:type="dxa" w:w="398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6"/>
              </w:rPr>
              <w:t>判定</w:t>
            </w:r>
          </w:p>
        </w:tc>
      </w:tr>
      <w:tr>
        <w:trPr>
          <w:cantSplit/>
        </w:trPr>
        <w:tc>
          <w:tcPr>
            <w:tcW w:type="dxa" w:w="1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纸杯挺度</w:t>
            </w:r>
          </w:p>
        </w:tc>
        <w:tc>
          <w:tcPr>
            <w:tcW w:type="dxa" w:w="957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按挺度仪说明和GB/T 27590-2022，测头位于杯高约2/3处，接缝朝向测试者，5只取平均，精确至0.01 N。</w:t>
            </w:r>
          </w:p>
        </w:tc>
        <w:tc>
          <w:tcPr>
            <w:tcW w:type="dxa" w:w="398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按容量档限值；平均值和单只异常均记录</w:t>
            </w:r>
          </w:p>
        </w:tc>
      </w:tr>
      <w:tr>
        <w:trPr>
          <w:cantSplit/>
        </w:trPr>
        <w:tc>
          <w:tcPr>
            <w:tcW w:type="dxa" w:w="1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纸碗/纸盖挺度或承载</w:t>
            </w:r>
          </w:p>
        </w:tc>
        <w:tc>
          <w:tcPr>
            <w:tcW w:type="dxa" w:w="957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按SKU卡使用专用治具；承载试验记录载荷、时间、变形、破裂、脱层和恢复情况。</w:t>
            </w:r>
          </w:p>
        </w:tc>
        <w:tc>
          <w:tcPr>
            <w:tcW w:type="dxa" w:w="398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不得影响叠放、装配和使用；客户要求优先</w:t>
            </w:r>
          </w:p>
        </w:tc>
      </w:tr>
      <w:tr>
        <w:trPr>
          <w:cantSplit/>
        </w:trPr>
        <w:tc>
          <w:tcPr>
            <w:tcW w:type="dxa" w:w="1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盖杯配合</w:t>
            </w:r>
          </w:p>
        </w:tc>
        <w:tc>
          <w:tcPr>
            <w:tcW w:type="dxa" w:w="957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对每个规格至少5套：装配、提拿、倾斜、轻摇、饮口/通气孔功能；测配合深度和脱盖力（若有）。</w:t>
            </w:r>
          </w:p>
        </w:tc>
        <w:tc>
          <w:tcPr>
            <w:tcW w:type="dxa" w:w="398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6"/>
              </w:rPr>
              <w:t>不得松脱、歪斜、卡死或产生尖锐毛刺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4.5 过程巡检与100%防错</w:t>
      </w:r>
    </w:p>
    <w:tbl>
      <w:tblPr>
        <w:tblW w:type="dxa" w:w="15477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B7C1CC"/>
          <w:left w:val="single" w:sz="4" w:space="0" w:color="B7C1CC"/>
          <w:bottom w:val="single" w:sz="4" w:space="0" w:color="B7C1CC"/>
          <w:right w:val="single" w:sz="4" w:space="0" w:color="B7C1CC"/>
          <w:insideH w:val="single" w:sz="4" w:space="0" w:color="B7C1CC"/>
          <w:insideV w:val="single" w:sz="4" w:space="0" w:color="B7C1CC"/>
        </w:tblBorders>
      </w:tblPr>
      <w:tblGrid>
        <w:gridCol w:w="1755"/>
        <w:gridCol w:w="2925"/>
        <w:gridCol w:w="6914"/>
        <w:gridCol w:w="3882"/>
      </w:tblGrid>
      <w:tr>
        <w:trPr>
          <w:cantSplit/>
          <w:tblHeader w:val="true"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5"/>
              </w:rPr>
              <w:t>检查点</w:t>
            </w:r>
          </w:p>
        </w:tc>
        <w:tc>
          <w:tcPr>
            <w:tcW w:type="dxa" w:w="292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5"/>
              </w:rPr>
              <w:t>频次/触发</w:t>
            </w:r>
          </w:p>
        </w:tc>
        <w:tc>
          <w:tcPr>
            <w:tcW w:type="dxa" w:w="6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5"/>
              </w:rPr>
              <w:t>必须检查与记录</w:t>
            </w:r>
          </w:p>
        </w:tc>
        <w:tc>
          <w:tcPr>
            <w:tcW w:type="dxa" w:w="388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5"/>
              </w:rPr>
              <w:t>异常动作</w:t>
            </w:r>
          </w:p>
        </w:tc>
      </w:tr>
      <w:tr>
        <w:trPr>
          <w:cantSplit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首件</w:t>
            </w:r>
          </w:p>
        </w:tc>
        <w:tc>
          <w:tcPr>
            <w:tcW w:type="dxa" w:w="292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每张派工单；开机/换线/换模/换料/换版/换规格</w:t>
            </w:r>
          </w:p>
        </w:tc>
        <w:tc>
          <w:tcPr>
            <w:tcW w:type="dxa" w:w="6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派工单号、触发原因、外观、尺寸、容量/配合、SKU要求的水测和油测、挺度/承载、工具代码/状态</w:t>
            </w:r>
          </w:p>
        </w:tc>
        <w:tc>
          <w:tcPr>
            <w:tcW w:type="dxa" w:w="388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状态非合格不得量产；调整后重新首件</w:t>
            </w:r>
          </w:p>
        </w:tc>
      </w:tr>
      <w:tr>
        <w:trPr>
          <w:cantSplit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过程巡检</w:t>
            </w:r>
          </w:p>
        </w:tc>
        <w:tc>
          <w:tcPr>
            <w:tcW w:type="dxa" w:w="292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至少每小时1次；并可按产量、换料、参数超限、投诉风险触发</w:t>
            </w:r>
          </w:p>
        </w:tc>
        <w:tc>
          <w:tcPr>
            <w:tcW w:type="dxa" w:w="6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派工单号、巡检序号、应完成/实际时间、样品位置、接缝、底部、膜层、印刷、异物、尺寸、参数；按SKU/风险触发水测或油测</w:t>
            </w:r>
          </w:p>
        </w:tc>
        <w:tc>
          <w:tcPr>
            <w:tcW w:type="dxa" w:w="3882"/>
            <w:shd w:fill="FFF4E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超期预警/冻结；关键异常停线，隔离自上次合格点</w:t>
            </w:r>
          </w:p>
        </w:tc>
      </w:tr>
      <w:tr>
        <w:trPr>
          <w:cantSplit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100%逐件防错</w:t>
            </w:r>
          </w:p>
        </w:tc>
        <w:tc>
          <w:tcPr>
            <w:tcW w:type="dxa" w:w="292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全程</w:t>
            </w:r>
          </w:p>
        </w:tc>
        <w:tc>
          <w:tcPr>
            <w:tcW w:type="dxa" w:w="6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混料、漏装、错向、严重缺陷、异物、明显漏底/开口、盖杯不配</w:t>
            </w:r>
          </w:p>
        </w:tc>
        <w:tc>
          <w:tcPr>
            <w:tcW w:type="dxa" w:w="388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不得用抽样替代；不确定时全检</w:t>
            </w:r>
          </w:p>
        </w:tc>
      </w:tr>
      <w:tr>
        <w:trPr>
          <w:cantSplit/>
        </w:trPr>
        <w:tc>
          <w:tcPr>
            <w:tcW w:type="dxa" w:w="175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包装/完工</w:t>
            </w:r>
          </w:p>
        </w:tc>
        <w:tc>
          <w:tcPr>
            <w:tcW w:type="dxa" w:w="292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每箱/每托及派工单完工前</w:t>
            </w:r>
          </w:p>
        </w:tc>
        <w:tc>
          <w:tcPr>
            <w:tcW w:type="dxa" w:w="6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规格、数量、批号、标签、外箱、封口、留样；首件/巡检/水测/油测/工具节点完整</w:t>
            </w:r>
          </w:p>
        </w:tc>
        <w:tc>
          <w:tcPr>
            <w:tcW w:type="dxa" w:w="388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缺项不得完工；重工/重贴标后复核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5 抽样和判定</w:t>
      </w:r>
    </w:p>
    <w:p>
      <w:pPr>
        <w:spacing w:after="60" w:line="252" w:lineRule="auto"/>
      </w:pPr>
      <w:r>
        <w:rPr>
          <w:rFonts w:ascii="Microsoft YaHei" w:hAnsi="Microsoft YaHei" w:eastAsia="Microsoft YaHei"/>
          <w:color w:val="000000"/>
          <w:sz w:val="19"/>
        </w:rPr>
        <w:t>5.1 采用“关键缺陷零接受 + 主要/次要缺陷按加严抽样 + 破坏性项目每批5只”的组合。抽样必须覆盖不同箱号/时间/位置。</w:t>
      </w:r>
    </w:p>
    <w:p>
      <w:pPr>
        <w:spacing w:after="60" w:line="252" w:lineRule="auto"/>
      </w:pPr>
      <w:r>
        <w:rPr>
          <w:rFonts w:ascii="Microsoft YaHei" w:hAnsi="Microsoft YaHei" w:eastAsia="Microsoft YaHei"/>
          <w:color w:val="000000"/>
          <w:sz w:val="19"/>
        </w:rPr>
        <w:t>5.2 抽样中发现1个关键缺陷，整批待定并启动100%筛选或返工；发现主要缺陷超过批准数，整批不放行；复验不得把原始不合格记录删除。</w:t>
      </w:r>
    </w:p>
    <w:p>
      <w:pPr>
        <w:spacing w:after="60" w:line="252" w:lineRule="auto"/>
      </w:pPr>
      <w:r>
        <w:rPr>
          <w:rFonts w:ascii="Microsoft YaHei" w:hAnsi="Microsoft YaHei" w:eastAsia="Microsoft YaHei"/>
          <w:color w:val="000000"/>
          <w:sz w:val="19"/>
        </w:rPr>
        <w:t>5.3 外检样品必须从正常生产批中随机抽取并封样，样品标签包含料号、批号、生产日期、材质、用途、抽样人、抽样日期和试验项目。</w:t>
      </w:r>
    </w:p>
    <w:p>
      <w:pPr>
        <w:pStyle w:val="Heading1"/>
        <w:keepNext/>
      </w:pPr>
      <w:r>
        <w:t>6 不合格处理</w:t>
      </w:r>
    </w:p>
    <w:tbl>
      <w:tblPr>
        <w:tblW w:type="dxa" w:w="15477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B7C1CC"/>
          <w:left w:val="single" w:sz="4" w:space="0" w:color="B7C1CC"/>
          <w:bottom w:val="single" w:sz="4" w:space="0" w:color="B7C1CC"/>
          <w:right w:val="single" w:sz="4" w:space="0" w:color="B7C1CC"/>
          <w:insideH w:val="single" w:sz="4" w:space="0" w:color="B7C1CC"/>
          <w:insideV w:val="single" w:sz="4" w:space="0" w:color="B7C1CC"/>
        </w:tblBorders>
      </w:tblPr>
      <w:tblGrid>
        <w:gridCol w:w="1914"/>
        <w:gridCol w:w="13562"/>
      </w:tblGrid>
      <w:tr>
        <w:trPr>
          <w:cantSplit/>
          <w:tblHeader w:val="true"/>
        </w:trPr>
        <w:tc>
          <w:tcPr>
            <w:tcW w:type="dxa" w:w="1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7"/>
              </w:rPr>
              <w:t>动作</w:t>
            </w:r>
          </w:p>
        </w:tc>
        <w:tc>
          <w:tcPr>
            <w:tcW w:type="dxa" w:w="1356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7"/>
              </w:rPr>
              <w:t>要求</w:t>
            </w:r>
          </w:p>
        </w:tc>
      </w:tr>
      <w:tr>
        <w:trPr>
          <w:cantSplit/>
        </w:trPr>
        <w:tc>
          <w:tcPr>
            <w:tcW w:type="dxa" w:w="1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标识</w:t>
            </w:r>
          </w:p>
        </w:tc>
        <w:tc>
          <w:tcPr>
            <w:tcW w:type="dxa" w:w="1356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红色“不合格/待判”标签；标识到箱/托/批，不得只标识散件</w:t>
            </w:r>
          </w:p>
        </w:tc>
      </w:tr>
      <w:tr>
        <w:trPr>
          <w:cantSplit/>
        </w:trPr>
        <w:tc>
          <w:tcPr>
            <w:tcW w:type="dxa" w:w="1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隔离</w:t>
            </w:r>
          </w:p>
        </w:tc>
        <w:tc>
          <w:tcPr>
            <w:tcW w:type="dxa" w:w="1356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物理隔离并锁定系统状态；禁止与合格品混放、混箱、混出货</w:t>
            </w:r>
          </w:p>
        </w:tc>
      </w:tr>
      <w:tr>
        <w:trPr>
          <w:cantSplit/>
        </w:trPr>
        <w:tc>
          <w:tcPr>
            <w:tcW w:type="dxa" w:w="1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调查</w:t>
            </w:r>
          </w:p>
        </w:tc>
        <w:tc>
          <w:tcPr>
            <w:tcW w:type="dxa" w:w="1356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追溯原料批、设备、工艺参数、人员、时间、箱号、上次合格点</w:t>
            </w:r>
          </w:p>
        </w:tc>
      </w:tr>
      <w:tr>
        <w:trPr>
          <w:cantSplit/>
        </w:trPr>
        <w:tc>
          <w:tcPr>
            <w:tcW w:type="dxa" w:w="1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处置</w:t>
            </w:r>
          </w:p>
        </w:tc>
        <w:tc>
          <w:tcPr>
            <w:tcW w:type="dxa" w:w="13562"/>
            <w:shd w:fill="FFF4E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返工、挑选、降级、报废或让步接收；食品安全/关键缺陷不得让步接收</w:t>
            </w:r>
          </w:p>
        </w:tc>
      </w:tr>
      <w:tr>
        <w:trPr>
          <w:cantSplit/>
        </w:trPr>
        <w:tc>
          <w:tcPr>
            <w:tcW w:type="dxa" w:w="1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复验</w:t>
            </w:r>
          </w:p>
        </w:tc>
        <w:tc>
          <w:tcPr>
            <w:tcW w:type="dxa" w:w="1356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返工后按原项目复验；复验样品和结果单独记录，不覆盖第一次结果</w:t>
            </w:r>
          </w:p>
        </w:tc>
      </w:tr>
      <w:tr>
        <w:trPr>
          <w:cantSplit/>
        </w:trPr>
        <w:tc>
          <w:tcPr>
            <w:tcW w:type="dxa" w:w="19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关闭</w:t>
            </w:r>
          </w:p>
        </w:tc>
        <w:tc>
          <w:tcPr>
            <w:tcW w:type="dxa" w:w="1356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7"/>
              </w:rPr>
              <w:t>质量负责人确认原因、纠正措施、效果验证和放行/报废结论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7 工具使用、点检与校准最低要求</w:t>
      </w:r>
    </w:p>
    <w:tbl>
      <w:tblPr>
        <w:tblW w:type="dxa" w:w="15477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B7C1CC"/>
          <w:left w:val="single" w:sz="4" w:space="0" w:color="B7C1CC"/>
          <w:bottom w:val="single" w:sz="4" w:space="0" w:color="B7C1CC"/>
          <w:right w:val="single" w:sz="4" w:space="0" w:color="B7C1CC"/>
          <w:insideH w:val="single" w:sz="4" w:space="0" w:color="B7C1CC"/>
          <w:insideV w:val="single" w:sz="4" w:space="0" w:color="B7C1CC"/>
        </w:tblBorders>
      </w:tblPr>
      <w:tblGrid>
        <w:gridCol w:w="3616"/>
        <w:gridCol w:w="3563"/>
        <w:gridCol w:w="3988"/>
        <w:gridCol w:w="4308"/>
      </w:tblGrid>
      <w:tr>
        <w:trPr>
          <w:cantSplit/>
          <w:tblHeader w:val="true"/>
        </w:trPr>
        <w:tc>
          <w:tcPr>
            <w:tcW w:type="dxa" w:w="361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5"/>
              </w:rPr>
              <w:t>代码/工具</w:t>
            </w:r>
          </w:p>
        </w:tc>
        <w:tc>
          <w:tcPr>
            <w:tcW w:type="dxa" w:w="356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5"/>
              </w:rPr>
              <w:t>用途</w:t>
            </w:r>
          </w:p>
        </w:tc>
        <w:tc>
          <w:tcPr>
            <w:tcW w:type="dxa" w:w="398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5"/>
              </w:rPr>
              <w:t>使用前点检</w:t>
            </w:r>
          </w:p>
        </w:tc>
        <w:tc>
          <w:tcPr>
            <w:tcW w:type="dxa" w:w="43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8EEF5"/>
          </w:tcPr>
          <w:p>
            <w:pPr>
              <w:spacing w:after="0"/>
              <w:jc w:val="center"/>
            </w:pPr>
            <w:r/>
            <w:r>
              <w:rPr>
                <w:rFonts w:ascii="Microsoft YaHei" w:hAnsi="Microsoft YaHei" w:eastAsia="Microsoft YaHei"/>
                <w:b/>
                <w:color w:val="1F4D78"/>
                <w:sz w:val="15"/>
              </w:rPr>
              <w:t>校准/确认与系统控制</w:t>
            </w:r>
          </w:p>
        </w:tc>
      </w:tr>
      <w:tr>
        <w:trPr>
          <w:cantSplit/>
        </w:trPr>
        <w:tc>
          <w:tcPr>
            <w:tcW w:type="dxa" w:w="361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TOOL-VIS-001/002 标准照明、放大镜</w:t>
            </w:r>
          </w:p>
        </w:tc>
        <w:tc>
          <w:tcPr>
            <w:tcW w:type="dxa" w:w="356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首件/巡检/成品外观</w:t>
            </w:r>
          </w:p>
        </w:tc>
        <w:tc>
          <w:tcPr>
            <w:tcW w:type="dxa" w:w="398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照度、清洁、完好</w:t>
            </w:r>
          </w:p>
        </w:tc>
        <w:tc>
          <w:tcPr>
            <w:tcW w:type="dxa" w:w="43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照度定期确认；异常证据拍照</w:t>
            </w:r>
          </w:p>
        </w:tc>
      </w:tr>
      <w:tr>
        <w:trPr>
          <w:cantSplit/>
        </w:trPr>
        <w:tc>
          <w:tcPr>
            <w:tcW w:type="dxa" w:w="361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TOOL-DIM-001/002/003 卡尺、尺、高度尺、通止规/配合检具</w:t>
            </w:r>
          </w:p>
        </w:tc>
        <w:tc>
          <w:tcPr>
            <w:tcW w:type="dxa" w:w="356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尺寸、盖杯配合</w:t>
            </w:r>
          </w:p>
        </w:tc>
        <w:tc>
          <w:tcPr>
            <w:tcW w:type="dxa" w:w="3988"/>
            <w:shd w:fill="FFF4E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归零、磨损、清洁、适用SKU</w:t>
            </w:r>
          </w:p>
        </w:tc>
        <w:tc>
          <w:tcPr>
            <w:tcW w:type="dxa" w:w="43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计量校准/标准样比对；到期停用</w:t>
            </w:r>
          </w:p>
        </w:tc>
      </w:tr>
      <w:tr>
        <w:trPr>
          <w:cantSplit/>
        </w:trPr>
        <w:tc>
          <w:tcPr>
            <w:tcW w:type="dxa" w:w="361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TOOL-MASS-001 / TOOL-CAP-001 天平、量筒</w:t>
            </w:r>
          </w:p>
        </w:tc>
        <w:tc>
          <w:tcPr>
            <w:tcW w:type="dxa" w:w="356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容量、定量、加液</w:t>
            </w:r>
          </w:p>
        </w:tc>
        <w:tc>
          <w:tcPr>
            <w:tcW w:type="dxa" w:w="3988"/>
            <w:shd w:fill="FFF4E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水平、归零、砝码/容量确认、清洁</w:t>
            </w:r>
          </w:p>
        </w:tc>
        <w:tc>
          <w:tcPr>
            <w:tcW w:type="dxa" w:w="43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按证书周期校准；记录序列号</w:t>
            </w:r>
          </w:p>
        </w:tc>
      </w:tr>
      <w:tr>
        <w:trPr>
          <w:cantSplit/>
        </w:trPr>
        <w:tc>
          <w:tcPr>
            <w:tcW w:type="dxa" w:w="361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TOOL-LEAK-001/002 水测/油测装置</w:t>
            </w:r>
          </w:p>
        </w:tc>
        <w:tc>
          <w:tcPr>
            <w:tcW w:type="dxa" w:w="356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水渗漏、油渗漏、耐温</w:t>
            </w:r>
          </w:p>
        </w:tc>
        <w:tc>
          <w:tcPr>
            <w:tcW w:type="dxa" w:w="398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介质、清洁、液位、加热、防烫、温度稳定</w:t>
            </w:r>
          </w:p>
        </w:tc>
        <w:tc>
          <w:tcPr>
            <w:tcW w:type="dxa" w:w="43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温度均匀性确认；水油防交叉污染</w:t>
            </w:r>
          </w:p>
        </w:tc>
      </w:tr>
      <w:tr>
        <w:trPr>
          <w:cantSplit/>
        </w:trPr>
        <w:tc>
          <w:tcPr>
            <w:tcW w:type="dxa" w:w="361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TOOL-LEAK-003/004/005/006 温度计、计时器、承载板、吸水/吸油纸</w:t>
            </w:r>
          </w:p>
        </w:tc>
        <w:tc>
          <w:tcPr>
            <w:tcW w:type="dxa" w:w="356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水/油测试原始条件与观察</w:t>
            </w:r>
          </w:p>
        </w:tc>
        <w:tc>
          <w:tcPr>
            <w:tcW w:type="dxa" w:w="398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示值、走时、干燥、洁净、耗材批次</w:t>
            </w:r>
          </w:p>
        </w:tc>
        <w:tc>
          <w:tcPr>
            <w:tcW w:type="dxa" w:w="43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温度/时间校准或比对有效</w:t>
            </w:r>
          </w:p>
        </w:tc>
      </w:tr>
      <w:tr>
        <w:trPr>
          <w:cantSplit/>
        </w:trPr>
        <w:tc>
          <w:tcPr>
            <w:tcW w:type="dxa" w:w="361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TOOL-STR-001/002 挺度仪、砝码/承载治具</w:t>
            </w:r>
          </w:p>
        </w:tc>
        <w:tc>
          <w:tcPr>
            <w:tcW w:type="dxa" w:w="356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挺度、承载、叠放</w:t>
            </w:r>
          </w:p>
        </w:tc>
        <w:tc>
          <w:tcPr>
            <w:tcW w:type="dxa" w:w="3988"/>
            <w:shd w:fill="FFF4E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归零、压头/治具、标准件/砝码</w:t>
            </w:r>
          </w:p>
        </w:tc>
        <w:tc>
          <w:tcPr>
            <w:tcW w:type="dxa" w:w="43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按证书周期校准/核查</w:t>
            </w:r>
          </w:p>
        </w:tc>
      </w:tr>
      <w:tr>
        <w:trPr>
          <w:cantSplit/>
        </w:trPr>
        <w:tc>
          <w:tcPr>
            <w:tcW w:type="dxa" w:w="361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TOOL-MAT-001 / TOOL-ENV-001 原料量具、照度计</w:t>
            </w:r>
          </w:p>
        </w:tc>
        <w:tc>
          <w:tcPr>
            <w:tcW w:type="dxa" w:w="356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定量、厚度、膜层、工位照度</w:t>
            </w:r>
          </w:p>
        </w:tc>
        <w:tc>
          <w:tcPr>
            <w:tcW w:type="dxa" w:w="3988"/>
            <w:shd w:fill="FFF4E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刀口/测头、零位、示值</w:t>
            </w:r>
          </w:p>
        </w:tc>
        <w:tc>
          <w:tcPr>
            <w:tcW w:type="dxa" w:w="43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按证书周期校准</w:t>
            </w:r>
          </w:p>
        </w:tc>
      </w:tr>
      <w:tr>
        <w:trPr>
          <w:cantSplit/>
        </w:trPr>
        <w:tc>
          <w:tcPr>
            <w:tcW w:type="dxa" w:w="361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TOOL-TRACE-001 扫描器/移动终端</w:t>
            </w:r>
          </w:p>
        </w:tc>
        <w:tc>
          <w:tcPr>
            <w:tcW w:type="dxa" w:w="356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绑定派工单、样品和工具</w:t>
            </w:r>
          </w:p>
        </w:tc>
        <w:tc>
          <w:tcPr>
            <w:tcW w:type="dxa" w:w="398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联网、电量、账号、时间同步</w:t>
            </w:r>
          </w:p>
        </w:tc>
        <w:tc>
          <w:tcPr>
            <w:tcW w:type="dxa" w:w="43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Microsoft YaHei" w:hAnsi="Microsoft YaHei" w:eastAsia="Microsoft YaHei"/>
                <w:color w:val="000000"/>
                <w:sz w:val="15"/>
              </w:rPr>
              <w:t>IT点检；不是计量器具</w:t>
            </w:r>
          </w:p>
        </w:tc>
      </w:tr>
    </w:tbl>
    <w:p>
      <w:pPr>
        <w:spacing w:after="0"/>
      </w:pPr>
    </w:p>
    <w:p>
      <w:pPr>
        <w:spacing w:after="60" w:line="252" w:lineRule="auto"/>
      </w:pPr>
      <w:r>
        <w:rPr>
          <w:rFonts w:ascii="Microsoft YaHei" w:hAnsi="Microsoft YaHei" w:eastAsia="Microsoft YaHei"/>
          <w:color w:val="9B1C1C"/>
          <w:sz w:val="17"/>
        </w:rPr>
        <w:t>每次检验记录实际使用的工具代码；明道云从工具主数据读取校准/确认状态。到期、停用、损坏、不适用或未记录工具时，不得提交“合格”。</w:t>
      </w:r>
    </w:p>
    <w:p>
      <w:pPr>
        <w:pStyle w:val="Heading1"/>
        <w:keepNext/>
      </w:pPr>
      <w:r>
        <w:t>8 记录要求</w:t>
      </w:r>
    </w:p>
    <w:p>
      <w:pPr>
        <w:spacing w:after="60" w:line="252" w:lineRule="auto"/>
      </w:pPr>
      <w:r>
        <w:rPr>
          <w:rFonts w:ascii="Microsoft YaHei" w:hAnsi="Microsoft YaHei" w:eastAsia="Microsoft YaHei"/>
          <w:color w:val="000000"/>
          <w:sz w:val="19"/>
        </w:rPr>
        <w:t>使用《03_质量检验记录表单汇编》对应表单；记录不得涂改。错误采用单线划改并签名/日期；电子化时字段名、枚举值和审批节点按《04_明道云对接字段与检验计划.xlsx》。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567" w:right="680" w:bottom="567" w:left="68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Microsoft YaHei" w:hAnsi="Microsoft YaHei" w:eastAsia="Microsoft YaHei"/>
        <w:color w:val="667085"/>
        <w:sz w:val="16"/>
      </w:rPr>
      <w:t xml:space="preserve">受控文件  |  版本 V1.1  |  页码 </w:t>
    </w:r>
    <w:r>
      <w:rPr>
        <w:rFonts w:ascii="Microsoft YaHei" w:hAnsi="Microsoft YaHei" w:eastAsia="Microsoft YaHei"/>
        <w:color w:val="667085"/>
        <w:sz w:val="16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Microsoft YaHei" w:hAnsi="Microsoft YaHei" w:eastAsia="Microsoft YaHei"/>
        <w:b/>
        <w:color w:val="667085"/>
        <w:sz w:val="16"/>
      </w:rPr>
      <w:t>公司质量管理体系  |  检验作业指导书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Microsoft YaHei" w:hAnsi="Microsoft YaHei" w:eastAsia="Microsoft YaHei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E74B5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D7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D78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